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Début du message réexpédié :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De: </w:t>
      </w:r>
      <w:r>
        <w:rPr>
          <w:rFonts w:ascii="Helvetica Neue" w:hAnsi="Helvetica Neue" w:cs="Helvetica Neue"/>
        </w:rPr>
        <w:t>RQ-ACA - Recherche &lt;recherche@rq-aca.org&gt;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Objet: </w:t>
      </w:r>
      <w:proofErr w:type="spellStart"/>
      <w:r>
        <w:rPr>
          <w:rFonts w:ascii="Helvetica Neue" w:hAnsi="Helvetica Neue" w:cs="Helvetica Neue"/>
          <w:b/>
          <w:bCs/>
        </w:rPr>
        <w:t>Lobbyisme</w:t>
      </w:r>
      <w:proofErr w:type="spellEnd"/>
      <w:r>
        <w:rPr>
          <w:rFonts w:ascii="Helvetica Neue" w:hAnsi="Helvetica Neue" w:cs="Helvetica Neue"/>
          <w:b/>
          <w:bCs/>
        </w:rPr>
        <w:t xml:space="preserve">: lettre du ministre Fournier au Commissaire au </w:t>
      </w:r>
      <w:proofErr w:type="spellStart"/>
      <w:r>
        <w:rPr>
          <w:rFonts w:ascii="Helvetica Neue" w:hAnsi="Helvetica Neue" w:cs="Helvetica Neue"/>
          <w:b/>
          <w:bCs/>
        </w:rPr>
        <w:t>lobbyisme</w:t>
      </w:r>
      <w:proofErr w:type="spellEnd"/>
      <w:r>
        <w:rPr>
          <w:rFonts w:ascii="Helvetica Neue" w:hAnsi="Helvetica Neue" w:cs="Helvetica Neue"/>
          <w:b/>
          <w:bCs/>
        </w:rPr>
        <w:t>.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Date: </w:t>
      </w:r>
      <w:r>
        <w:rPr>
          <w:rFonts w:ascii="Helvetica Neue" w:hAnsi="Helvetica Neue" w:cs="Helvetica Neue"/>
        </w:rPr>
        <w:t>26 novembre 2015 14:04:06 UTC−5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À: </w:t>
      </w:r>
      <w:r>
        <w:rPr>
          <w:rFonts w:ascii="Helvetica Neue" w:hAnsi="Helvetica Neue" w:cs="Helvetica Neue"/>
        </w:rPr>
        <w:t>Équipe RQ-ACA Réseau québécois de l'ACA &lt;info@rq-aca.org&gt;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Aux membres du RQ-ACA,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Aux regroupements en lien avec le RQ-ACA,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Nous vous transmettons une lettre que nous venons de recevoir de la part du cabinet du ministre Fournier concernant le projet de loi sur le </w:t>
      </w:r>
      <w:proofErr w:type="spellStart"/>
      <w:r>
        <w:rPr>
          <w:rFonts w:ascii="Arial" w:hAnsi="Arial" w:cs="Arial"/>
        </w:rPr>
        <w:t>lobbyisme</w:t>
      </w:r>
      <w:proofErr w:type="spellEnd"/>
      <w:r>
        <w:rPr>
          <w:rFonts w:ascii="Arial" w:hAnsi="Arial" w:cs="Arial"/>
        </w:rPr>
        <w:t xml:space="preserve">. Avant d’entreprendre une consultation sur ce projet de loi, le ministre demande au Commissaire au </w:t>
      </w:r>
      <w:proofErr w:type="spellStart"/>
      <w:r>
        <w:rPr>
          <w:rFonts w:ascii="Arial" w:hAnsi="Arial" w:cs="Arial"/>
        </w:rPr>
        <w:t>lobbyisme</w:t>
      </w:r>
      <w:proofErr w:type="spellEnd"/>
      <w:r>
        <w:rPr>
          <w:rFonts w:ascii="Arial" w:hAnsi="Arial" w:cs="Arial"/>
        </w:rPr>
        <w:t xml:space="preserve"> de faire une analyse de l’utilité et de la pertinence de l’assujettissement des OSBL à la loi. Autrement dit, la consultation qui était prévue en janvier 2016 est repoussée. Nos actions ainsi que celles d’une multitude d’organismes communautaires et d’OSBL n’auront pas été vaines !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Bonne fin de journée!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Céline </w:t>
      </w:r>
      <w:proofErr w:type="spellStart"/>
      <w:r>
        <w:rPr>
          <w:rFonts w:ascii="Arial" w:hAnsi="Arial" w:cs="Arial"/>
          <w:b/>
          <w:bCs/>
        </w:rPr>
        <w:t>Métivier</w:t>
      </w:r>
      <w:proofErr w:type="spellEnd"/>
      <w:r>
        <w:rPr>
          <w:rFonts w:ascii="Arial" w:hAnsi="Arial" w:cs="Arial"/>
          <w:b/>
          <w:bCs/>
        </w:rPr>
        <w:t>, agente de recherche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RQ-ACA (Réseau québécois de l'action communautaire autonome)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1555, Papineau, Montréal, H2K 4H7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(514) 845-6386, Sans frais: 1 (888) 433-4935</w:t>
      </w:r>
    </w:p>
    <w:p w:rsidR="00D73A04" w:rsidRDefault="00E056BD" w:rsidP="00D73A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hyperlink r:id="rId5" w:history="1">
        <w:r w:rsidR="00D73A04">
          <w:rPr>
            <w:rFonts w:ascii="Verdana" w:hAnsi="Verdana" w:cs="Verdana"/>
            <w:color w:val="6B006D"/>
            <w:u w:val="single" w:color="6B006D"/>
          </w:rPr>
          <w:t>recherche@rq-aca.org</w:t>
        </w:r>
      </w:hyperlink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92420" cy="2251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Début du message réexpédié :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De: </w:t>
      </w:r>
      <w:r>
        <w:rPr>
          <w:rFonts w:ascii="Helvetica Neue" w:hAnsi="Helvetica Neue" w:cs="Helvetica Neue"/>
        </w:rPr>
        <w:t>"Parent, Patrick-Emmanuel" &lt;</w:t>
      </w:r>
      <w:hyperlink r:id="rId7" w:history="1">
        <w:r>
          <w:rPr>
            <w:rFonts w:ascii="Helvetica Neue" w:hAnsi="Helvetica Neue" w:cs="Helvetica Neue"/>
            <w:color w:val="6B006D"/>
            <w:u w:val="single" w:color="6B006D"/>
          </w:rPr>
          <w:t>Patrick-Emmanuel.Parent@mce.gouv.qc.ca</w:t>
        </w:r>
      </w:hyperlink>
      <w:r>
        <w:rPr>
          <w:rFonts w:ascii="Helvetica Neue" w:hAnsi="Helvetica Neue" w:cs="Helvetica Neue"/>
        </w:rPr>
        <w:t>&gt;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Objet: Demande formulée au Commissaire au </w:t>
      </w:r>
      <w:proofErr w:type="spellStart"/>
      <w:r>
        <w:rPr>
          <w:rFonts w:ascii="Helvetica Neue" w:hAnsi="Helvetica Neue" w:cs="Helvetica Neue"/>
          <w:b/>
          <w:bCs/>
        </w:rPr>
        <w:t>lobbyisme</w:t>
      </w:r>
      <w:proofErr w:type="spellEnd"/>
      <w:r>
        <w:rPr>
          <w:rFonts w:ascii="Helvetica Neue" w:hAnsi="Helvetica Neue" w:cs="Helvetica Neue"/>
          <w:b/>
          <w:bCs/>
        </w:rPr>
        <w:t>.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Date: </w:t>
      </w:r>
      <w:r>
        <w:rPr>
          <w:rFonts w:ascii="Helvetica Neue" w:hAnsi="Helvetica Neue" w:cs="Helvetica Neue"/>
        </w:rPr>
        <w:t>26 novembre 2015 13:48:38 UTC−5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À: </w:t>
      </w:r>
      <w:r>
        <w:rPr>
          <w:rFonts w:ascii="Helvetica Neue" w:hAnsi="Helvetica Neue" w:cs="Helvetica Neue"/>
        </w:rPr>
        <w:t>"</w:t>
      </w:r>
      <w:hyperlink r:id="rId8" w:history="1">
        <w:r>
          <w:rPr>
            <w:rFonts w:ascii="Helvetica Neue" w:hAnsi="Helvetica Neue" w:cs="Helvetica Neue"/>
            <w:color w:val="6B006D"/>
            <w:u w:val="single" w:color="6B006D"/>
          </w:rPr>
          <w:t>recherche@rq-aca.org</w:t>
        </w:r>
      </w:hyperlink>
      <w:r>
        <w:rPr>
          <w:rFonts w:ascii="Helvetica Neue" w:hAnsi="Helvetica Neue" w:cs="Helvetica Neue"/>
        </w:rPr>
        <w:t>" &lt;</w:t>
      </w:r>
      <w:hyperlink r:id="rId9" w:history="1">
        <w:r>
          <w:rPr>
            <w:rFonts w:ascii="Helvetica Neue" w:hAnsi="Helvetica Neue" w:cs="Helvetica Neue"/>
            <w:color w:val="6B006D"/>
            <w:u w:val="single" w:color="6B006D"/>
          </w:rPr>
          <w:t>recherche@rq-aca.org</w:t>
        </w:r>
      </w:hyperlink>
      <w:r>
        <w:rPr>
          <w:rFonts w:ascii="Helvetica Neue" w:hAnsi="Helvetica Neue" w:cs="Helvetica Neue"/>
        </w:rPr>
        <w:t xml:space="preserve">&gt;, "Heidi </w:t>
      </w:r>
      <w:proofErr w:type="spellStart"/>
      <w:r>
        <w:rPr>
          <w:rFonts w:ascii="Helvetica Neue" w:hAnsi="Helvetica Neue" w:cs="Helvetica Neue"/>
        </w:rPr>
        <w:t>Rathjen</w:t>
      </w:r>
      <w:proofErr w:type="spellEnd"/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lastRenderedPageBreak/>
        <w:t>(</w:t>
      </w:r>
      <w:hyperlink r:id="rId10" w:history="1">
        <w:r>
          <w:rPr>
            <w:rFonts w:ascii="Helvetica Neue" w:hAnsi="Helvetica Neue" w:cs="Helvetica Neue"/>
            <w:color w:val="6B006D"/>
            <w:u w:val="single" w:color="6B006D"/>
          </w:rPr>
          <w:t>hrathjen@cqct.qc.ca</w:t>
        </w:r>
      </w:hyperlink>
      <w:r>
        <w:rPr>
          <w:rFonts w:ascii="Helvetica Neue" w:hAnsi="Helvetica Neue" w:cs="Helvetica Neue"/>
        </w:rPr>
        <w:t>)" &lt;</w:t>
      </w:r>
      <w:hyperlink r:id="rId11" w:history="1">
        <w:r>
          <w:rPr>
            <w:rFonts w:ascii="Helvetica Neue" w:hAnsi="Helvetica Neue" w:cs="Helvetica Neue"/>
            <w:color w:val="6B006D"/>
            <w:u w:val="single" w:color="6B006D"/>
          </w:rPr>
          <w:t>hrathjen@cqct.qc.ca</w:t>
        </w:r>
      </w:hyperlink>
      <w:r>
        <w:rPr>
          <w:rFonts w:ascii="Helvetica Neue" w:hAnsi="Helvetica Neue" w:cs="Helvetica Neue"/>
        </w:rPr>
        <w:t>&gt;, "</w:t>
      </w:r>
      <w:hyperlink r:id="rId12" w:history="1">
        <w:r>
          <w:rPr>
            <w:rFonts w:ascii="Helvetica Neue" w:hAnsi="Helvetica Neue" w:cs="Helvetica Neue"/>
            <w:color w:val="6B006D"/>
            <w:u w:val="single" w:color="6B006D"/>
          </w:rPr>
          <w:t>coordination@trpocb.org</w:t>
        </w:r>
      </w:hyperlink>
      <w:r>
        <w:rPr>
          <w:rFonts w:ascii="Helvetica Neue" w:hAnsi="Helvetica Neue" w:cs="Helvetica Neue"/>
        </w:rPr>
        <w:t>" &lt;</w:t>
      </w:r>
      <w:hyperlink r:id="rId13" w:history="1">
        <w:r>
          <w:rPr>
            <w:rFonts w:ascii="Helvetica Neue" w:hAnsi="Helvetica Neue" w:cs="Helvetica Neue"/>
            <w:color w:val="6B006D"/>
            <w:u w:val="single" w:color="6B006D"/>
          </w:rPr>
          <w:t>coordination@trpocb.org</w:t>
        </w:r>
      </w:hyperlink>
      <w:r>
        <w:rPr>
          <w:rFonts w:ascii="Helvetica Neue" w:hAnsi="Helvetica Neue" w:cs="Helvetica Neue"/>
        </w:rPr>
        <w:t>&gt;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34820" cy="5861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Bonjour mesdames,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Veuillez trouver ci-joint la lettre adressée au Commissaire au </w:t>
      </w:r>
      <w:proofErr w:type="spellStart"/>
      <w:r>
        <w:rPr>
          <w:rFonts w:ascii="Calibri" w:hAnsi="Calibri" w:cs="Calibri"/>
          <w:sz w:val="30"/>
          <w:szCs w:val="30"/>
        </w:rPr>
        <w:t>lobbyisme</w:t>
      </w:r>
      <w:proofErr w:type="spellEnd"/>
      <w:r>
        <w:rPr>
          <w:rFonts w:ascii="Calibri" w:hAnsi="Calibri" w:cs="Calibri"/>
          <w:sz w:val="30"/>
          <w:szCs w:val="30"/>
        </w:rPr>
        <w:t xml:space="preserve"> à l’égard du projet de loi no. 56 et déposée par le ministre aujourd’hui.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Également, le lien url vers le communiqué de presse que nous avons émis : </w:t>
      </w:r>
      <w:hyperlink r:id="rId15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http://www.newswire.ca/fr/releases/archive/November2015/26/c5064.html</w:t>
        </w:r>
      </w:hyperlink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Cordiales salutations,</w:t>
      </w:r>
    </w:p>
    <w:p w:rsid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</w:tblGrid>
      <w:tr w:rsidR="002E2A1D">
        <w:tc>
          <w:tcPr>
            <w:tcW w:w="4428" w:type="dxa"/>
            <w:tcBorders>
              <w:top w:val="nil"/>
              <w:left w:val="nil"/>
              <w:bottom w:val="nil"/>
              <w:right w:val="single" w:sz="10" w:space="0" w:color="A6BDCE"/>
            </w:tcBorders>
            <w:tcMar>
              <w:top w:w="20" w:type="nil"/>
              <w:left w:w="20" w:type="nil"/>
              <w:bottom w:w="20" w:type="nil"/>
              <w:right w:w="160" w:type="nil"/>
            </w:tcMar>
          </w:tcPr>
          <w:p w:rsidR="00D73A04" w:rsidRDefault="00D73A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D73A04">
              <w:tc>
                <w:tcPr>
                  <w:tcW w:w="4428" w:type="dxa"/>
                  <w:tcBorders>
                    <w:right w:val="single" w:sz="10" w:space="0" w:color="A6BDCE"/>
                  </w:tcBorders>
                  <w:tcMar>
                    <w:top w:w="20" w:type="nil"/>
                    <w:left w:w="20" w:type="nil"/>
                    <w:bottom w:w="20" w:type="nil"/>
                    <w:right w:w="160" w:type="nil"/>
                  </w:tcMar>
                </w:tcPr>
                <w:p w:rsidR="00D73A04" w:rsidRDefault="00D73A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000000" w:rsidRDefault="00E056BD"/>
        </w:tc>
      </w:tr>
    </w:tbl>
    <w:p w:rsidR="00E72403" w:rsidRPr="00D73A04" w:rsidRDefault="00D73A04" w:rsidP="00D73A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ADB57D" wp14:editId="401865D6">
            <wp:extent cx="1582420" cy="3282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403" w:rsidRPr="00D73A04" w:rsidSect="005A562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04"/>
    <w:rsid w:val="000F05A7"/>
    <w:rsid w:val="002E2A1D"/>
    <w:rsid w:val="00D73A04"/>
    <w:rsid w:val="00E056BD"/>
    <w:rsid w:val="00E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A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A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A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A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rathjen@cqct.qc.ca" TargetMode="External"/><Relationship Id="rId12" Type="http://schemas.openxmlformats.org/officeDocument/2006/relationships/hyperlink" Target="mailto:coordination@trpocb.org" TargetMode="External"/><Relationship Id="rId13" Type="http://schemas.openxmlformats.org/officeDocument/2006/relationships/hyperlink" Target="mailto:coordination@trpocb.org" TargetMode="External"/><Relationship Id="rId14" Type="http://schemas.openxmlformats.org/officeDocument/2006/relationships/image" Target="media/image2.gif"/><Relationship Id="rId15" Type="http://schemas.openxmlformats.org/officeDocument/2006/relationships/hyperlink" Target="http://www.newswire.ca/fr/releases/archive/November2015/26/c5064.html" TargetMode="External"/><Relationship Id="rId16" Type="http://schemas.openxmlformats.org/officeDocument/2006/relationships/image" Target="media/image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cherche@rq-aca.org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Patrick-Emmanuel.Parent@mce.gouv.qc.ca" TargetMode="External"/><Relationship Id="rId8" Type="http://schemas.openxmlformats.org/officeDocument/2006/relationships/hyperlink" Target="mailto:recherche@rq-aca.org" TargetMode="External"/><Relationship Id="rId9" Type="http://schemas.openxmlformats.org/officeDocument/2006/relationships/hyperlink" Target="mailto:recherche@rq-aca.org" TargetMode="External"/><Relationship Id="rId10" Type="http://schemas.openxmlformats.org/officeDocument/2006/relationships/hyperlink" Target="mailto:hrathjen@cqct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1909</Characters>
  <Application>Microsoft Macintosh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Gauthier</dc:creator>
  <cp:keywords/>
  <dc:description/>
  <cp:lastModifiedBy>Lisa Gauthier</cp:lastModifiedBy>
  <cp:revision>1</cp:revision>
  <dcterms:created xsi:type="dcterms:W3CDTF">2015-11-27T01:54:00Z</dcterms:created>
  <dcterms:modified xsi:type="dcterms:W3CDTF">2015-11-27T01:58:00Z</dcterms:modified>
</cp:coreProperties>
</file>